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/>
        </w:rPr>
        <w:id w:val="-368834325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b/>
              <w:bCs/>
              <w:sz w:val="32"/>
              <w:szCs w:val="32"/>
            </w:rPr>
          </w:pPr>
          <w:r>
            <w:rPr>
              <w:rFonts w:ascii="宋体" w:hAnsi="宋体" w:eastAsia="宋体"/>
              <w:b/>
              <w:bCs/>
              <w:sz w:val="36"/>
              <w:szCs w:val="36"/>
            </w:rPr>
            <w:t>目录</w:t>
          </w:r>
        </w:p>
        <w:p>
          <w:pPr>
            <w:pStyle w:val="3"/>
            <w:keepNext w:val="0"/>
            <w:keepLines w:val="0"/>
            <w:pageBreakBefore w:val="0"/>
            <w:widowControl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outlineLvl w:val="9"/>
            <w:rPr>
              <w:rFonts w:hint="eastAsia" w:ascii="仿宋" w:hAnsi="仿宋" w:eastAsia="仿宋" w:cs="仿宋"/>
              <w:b/>
              <w:bCs/>
              <w:sz w:val="28"/>
              <w:szCs w:val="28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instrText xml:space="preserve"> HYPERLINK \l "_Toc59636197" </w:instrTex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第1章 全球铝土矿生产情况</w: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TOC \o "1-3" \h \z \u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HYPERLINK \l _Toc7445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1.1 近5年全球铝土矿储量分布及变化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_Toc7445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_Toc1808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1.2 中国铝土矿储量分布及概况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_Toc1808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_Toc23916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1.3 近4年世界各国铝土矿产量情况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_Toc23916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3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_Toc19868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1.4 2020年国外铝土矿开发及出口进展</w:t>
          </w:r>
          <w:r>
            <w:rPr>
              <w:rStyle w:val="6"/>
              <w:rFonts w:hint="eastAsia" w:ascii="仿宋" w:hAnsi="仿宋" w:eastAsia="仿宋" w:cs="仿宋"/>
              <w:bCs/>
              <w:sz w:val="24"/>
              <w:szCs w:val="24"/>
              <w:lang w:eastAsia="zh-CN"/>
            </w:rPr>
            <w:t>（</w:t>
          </w:r>
          <w:r>
            <w:rPr>
              <w:rStyle w:val="6"/>
              <w:rFonts w:hint="eastAsia" w:ascii="仿宋" w:hAnsi="仿宋" w:eastAsia="仿宋" w:cs="仿宋"/>
              <w:bCs/>
              <w:sz w:val="24"/>
              <w:szCs w:val="24"/>
            </w:rPr>
            <w:t>2020年几内亚已投产的铝矿公司</w:t>
          </w:r>
          <w:r>
            <w:rPr>
              <w:rStyle w:val="6"/>
              <w:rFonts w:hint="eastAsia" w:ascii="仿宋" w:hAnsi="仿宋" w:eastAsia="仿宋" w:cs="仿宋"/>
              <w:bCs/>
              <w:sz w:val="24"/>
              <w:szCs w:val="24"/>
              <w:lang w:eastAsia="zh-CN"/>
            </w:rPr>
            <w:t>、几内亚在建和计划中的铝矿公司、印尼、马来西亚、牙买加、黑山、澳大利亚、加纳、塞拉利昂、科迈隆铝土矿进展）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_Toc19868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4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outlineLvl w:val="9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instrText xml:space="preserve"> HYPERLINK \l "_Toc59636202" </w:instrTex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separate"/>
          </w:r>
          <w:r>
            <w:rPr>
              <w:rStyle w:val="6"/>
              <w:rFonts w:hint="eastAsia" w:ascii="仿宋" w:hAnsi="仿宋" w:eastAsia="仿宋" w:cs="仿宋"/>
              <w:b/>
              <w:bCs/>
              <w:sz w:val="28"/>
              <w:szCs w:val="28"/>
            </w:rPr>
            <w:t>第2章 国产及进口铝土矿消费情况</w: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end"/>
          </w:r>
        </w:p>
        <w:p>
          <w:pPr>
            <w:pStyle w:val="4"/>
            <w:pageBreakBefore w:val="0"/>
            <w:widowControl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ind w:left="0" w:leftChars="0" w:firstLine="0" w:firstLineChars="0"/>
            <w:textAlignment w:val="auto"/>
            <w:rPr>
              <w:rStyle w:val="6"/>
              <w:rFonts w:hint="eastAsia" w:ascii="仿宋" w:hAnsi="仿宋" w:eastAsia="仿宋" w:cs="仿宋"/>
              <w:bCs/>
              <w:sz w:val="24"/>
              <w:szCs w:val="24"/>
              <w:lang w:eastAsia="zh-CN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_Toc21166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2.1 2020年铝土矿海运市场运行情况</w:t>
          </w:r>
          <w:r>
            <w:rPr>
              <w:rStyle w:val="6"/>
              <w:rFonts w:hint="eastAsia" w:ascii="仿宋" w:hAnsi="仿宋" w:eastAsia="仿宋" w:cs="仿宋"/>
              <w:bCs/>
              <w:sz w:val="24"/>
              <w:szCs w:val="24"/>
              <w:lang w:eastAsia="zh-CN"/>
            </w:rPr>
            <w:t>（中国进口铝土矿年运力需求、分国别复合增长率、中国进口铝土矿海运市场规模及运输天数）</w:t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_Toc21166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8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_Toc29767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2.2 2020年国产铝土矿价格、主流品位及消费变化</w:t>
          </w:r>
          <w:r>
            <w:rPr>
              <w:rStyle w:val="6"/>
              <w:rFonts w:hint="eastAsia" w:ascii="仿宋" w:hAnsi="仿宋" w:eastAsia="仿宋" w:cs="仿宋"/>
              <w:bCs/>
              <w:sz w:val="24"/>
              <w:szCs w:val="24"/>
              <w:lang w:eastAsia="zh-CN"/>
            </w:rPr>
            <w:t>（河南、山西、广西、贵州、山东地区）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_Toc29767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11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_Toc10241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2.3 2020年进口铝土矿价格、数量、主流品位、来源国及消费变化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_Toc10241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13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_Toc626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2.4 2020年全球铝土矿贸易流向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_Toc626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17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_Toc5302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2.5 2020年全国氧化铝企业用矿情况</w:t>
          </w:r>
          <w:r>
            <w:rPr>
              <w:rStyle w:val="6"/>
              <w:rFonts w:hint="eastAsia" w:ascii="仿宋" w:hAnsi="仿宋" w:eastAsia="仿宋" w:cs="仿宋"/>
              <w:bCs/>
              <w:sz w:val="24"/>
              <w:szCs w:val="24"/>
              <w:lang w:eastAsia="zh-CN"/>
            </w:rPr>
            <w:t>（河南、山西、内蒙、山东、贵州、云南、重庆、广西）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_Toc5302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18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outlineLvl w:val="9"/>
            <w:rPr>
              <w:rFonts w:hint="eastAsia" w:ascii="仿宋" w:hAnsi="仿宋" w:eastAsia="仿宋" w:cs="仿宋"/>
              <w:b/>
              <w:bCs/>
              <w:sz w:val="28"/>
              <w:szCs w:val="28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instrText xml:space="preserve"> HYPERLINK \l "_Toc59636208" </w:instrTex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第3章 中国铝土矿</w: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  <w:lang w:eastAsia="zh-CN"/>
            </w:rPr>
            <w:t>及氧化铝</w: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市场回顾及展望</w:t>
          </w: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_Toc12758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3.1 中国铝土矿港口库存分析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_Toc12758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20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_Toc29856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3.2 未来氧化铝厂新增产能布局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_Toc29856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21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_Toc23541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3.3 中国氧化铝厂内库存分析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_Toc23541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_Toc23629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3.4 氧化铝成本结构分析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_Toc23629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23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_Toc10221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3.5 2019-2020年分地区氧化铝生产成本比较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_Toc10221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26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_Toc20485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3.6 2020年氧化铝行业热点解析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_Toc20485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30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_Toc9216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3.7 2021年国内外氧化铝价格预测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_Toc9216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36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3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157" w:afterLines="50" w:line="24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instrText xml:space="preserve"> HYPERLINK \l _Toc15285 </w:instrText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4"/>
              <w:szCs w:val="24"/>
            </w:rPr>
            <w:t>3.8 2020年铝土矿市场供需平衡及预测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_Toc15285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36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  <w:p>
          <w:pPr>
            <w:rPr>
              <w:rFonts w:hint="eastAsia" w:asciiTheme="minorHAnsi" w:hAnsiTheme="minorHAnsi" w:eastAsiaTheme="minorEastAsia" w:cstheme="minorBidi"/>
              <w:b/>
              <w:bCs/>
              <w:color w:val="auto"/>
              <w:kern w:val="2"/>
              <w:sz w:val="21"/>
              <w:szCs w:val="24"/>
              <w:lang w:val="zh-CN"/>
            </w:rPr>
          </w:pPr>
          <w:r>
            <w:rPr>
              <w:rFonts w:hint="eastAsia" w:ascii="仿宋" w:hAnsi="仿宋" w:eastAsia="仿宋" w:cs="仿宋"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7402C"/>
    <w:rsid w:val="28B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2021-01-27T07:25:00Z</dcterms:created>
  <dc:creator>dell</dc:creator>
  <cp:lastModifiedBy>dell</cp:lastModifiedBy>
  <dcterms:modified xsi:type="dcterms:W3CDTF">2021-01-27T07:25:42Z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